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2"/>
        </w:rPr>
      </w:pPr>
      <w:r>
        <w:rPr>
          <w:rFonts w:hint="eastAsia"/>
          <w:sz w:val="32"/>
        </w:rPr>
        <w:t>微波炉操作规程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一、设备介绍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微波炉是一种通过微波加热用于烹饪的设备，在实验室也可以用于烘干、加热等操作。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二、操作规程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1、使用前，</w:t>
      </w:r>
      <w:r>
        <w:rPr>
          <w:rFonts w:hint="eastAsia" w:asciiTheme="minorEastAsia" w:hAnsiTheme="minorEastAsia"/>
          <w:sz w:val="24"/>
        </w:rPr>
        <w:t>检查微波炉的额定电压是否与电源电压相符，接地是否可靠，无误后方可使用。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2、</w:t>
      </w:r>
      <w:r>
        <w:rPr>
          <w:rFonts w:hint="eastAsia" w:asciiTheme="minorEastAsia" w:hAnsiTheme="minorEastAsia"/>
          <w:sz w:val="24"/>
        </w:rPr>
        <w:t>微波炉要放于稳定的台架上，防止跌落；两旁与墙壁要至少间距</w:t>
      </w:r>
      <w:r>
        <w:rPr>
          <w:rFonts w:asciiTheme="minorEastAsia" w:hAnsiTheme="minorEastAsia"/>
          <w:sz w:val="24"/>
        </w:rPr>
        <w:t>10cm</w:t>
      </w:r>
      <w:r>
        <w:rPr>
          <w:rFonts w:hint="eastAsia" w:asciiTheme="minorEastAsia" w:hAnsiTheme="minorEastAsia"/>
          <w:sz w:val="24"/>
        </w:rPr>
        <w:t>，以利通风；炉顶不可放置任何物品；如果放于柜中，则炉顶上也至少要有</w:t>
      </w:r>
      <w:r>
        <w:rPr>
          <w:rFonts w:asciiTheme="minorEastAsia" w:hAnsiTheme="minorEastAsia"/>
          <w:sz w:val="24"/>
        </w:rPr>
        <w:t>10cm</w:t>
      </w:r>
    </w:p>
    <w:p>
      <w:pPr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间距；防止水及任何小的物件掉入炉顶的通风孔中，防止造成电子线路故障。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3、</w:t>
      </w:r>
      <w:r>
        <w:rPr>
          <w:rFonts w:hint="eastAsia" w:asciiTheme="minorEastAsia" w:hAnsiTheme="minorEastAsia"/>
          <w:sz w:val="24"/>
        </w:rPr>
        <w:t>插上电源</w:t>
      </w:r>
      <w:r>
        <w:rPr>
          <w:rFonts w:asciiTheme="minorEastAsia" w:hAnsiTheme="minorEastAsia"/>
          <w:sz w:val="24"/>
        </w:rPr>
        <w:t>、</w:t>
      </w:r>
      <w:r>
        <w:rPr>
          <w:rFonts w:hint="eastAsia" w:asciiTheme="minorEastAsia" w:hAnsiTheme="minorEastAsia"/>
          <w:sz w:val="24"/>
        </w:rPr>
        <w:t>打开炉门，选用非金属容器，如玻璃、陶瓷、塑料或微波炉专用器皿盛放待加热物品，放在加热区中间。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4、</w:t>
      </w:r>
      <w:r>
        <w:rPr>
          <w:rFonts w:hint="eastAsia" w:asciiTheme="minorEastAsia" w:hAnsiTheme="minorEastAsia"/>
          <w:sz w:val="24"/>
        </w:rPr>
        <w:t>轻轻关上炉门，听到“咔哒”声且炉门与炉体严密无缝方可。关炉门不可过猛，防止门的安全锁开关损坏。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5、调整加热功率到所需位置，再调整定时器到所需时间，，时微波炉开始工作。使用过程中，可以从炉门看到加热情况，根据需要还可以调整火力和时间。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6、加热</w:t>
      </w:r>
      <w:r>
        <w:rPr>
          <w:rFonts w:hint="eastAsia" w:asciiTheme="minorEastAsia" w:hAnsiTheme="minorEastAsia"/>
          <w:sz w:val="24"/>
        </w:rPr>
        <w:t>完毕后，微波炉自动停下，可打开炉门取出被加热的物品，注意小心高温烫手。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7、</w:t>
      </w:r>
      <w:r>
        <w:rPr>
          <w:rFonts w:hint="eastAsia" w:asciiTheme="minorEastAsia" w:hAnsiTheme="minorEastAsia"/>
          <w:sz w:val="24"/>
        </w:rPr>
        <w:t>断开电源，关上炉门，结束使用。</w:t>
      </w:r>
    </w:p>
    <w:p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三、注意事项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1、不能空烧，否则会损坏微波炉。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2、实验用微波炉和烹饪用微波炉禁止混用。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3、</w:t>
      </w:r>
      <w:r>
        <w:rPr>
          <w:rFonts w:hint="eastAsia" w:asciiTheme="minorEastAsia" w:hAnsiTheme="minorEastAsia"/>
          <w:sz w:val="24"/>
        </w:rPr>
        <w:t xml:space="preserve">不可以使用以下器皿：金属容器(包括内衬铝箔的软包装)、带有金属装饰条纹的玻璃和陶瓷器具、易碎的玻璃器皿、采用粘和方式制作的器具、内壁涂有彩色或油漆的各种容器。 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4、</w:t>
      </w:r>
      <w:r>
        <w:rPr>
          <w:rFonts w:hint="eastAsia" w:asciiTheme="minorEastAsia" w:hAnsiTheme="minorEastAsia"/>
          <w:sz w:val="24"/>
        </w:rPr>
        <w:t xml:space="preserve">加热鸡蛋、板粟、香肠、土豆等带壳或无孔的食物，应去皮或开缝或扎几个孔，以防爆裂。 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5、使用保鲜膜覆盖加热食物时，需留有小孔；不能将密封的瓶子放在炉内加热，应将瓶盖打开，窄口瓶或缸装食品不可以直接加热。 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6、不宜将食品直接放在加热底盘上烹调，食品应放在合适的器皿中，再将器皿放在加热底盘上烹调。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7、忌长时间在微波炉前工作：开启微炉后，人应远离微波炉或人距离微波炉至少在1米之外。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8、</w:t>
      </w:r>
      <w:r>
        <w:rPr>
          <w:rFonts w:hint="eastAsia" w:asciiTheme="minorEastAsia" w:hAnsiTheme="minorEastAsia"/>
          <w:sz w:val="24"/>
        </w:rPr>
        <w:t>如果在烹调过程中发生冒烟或起火现象时，应先切断电源，再打开炉门。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9、</w:t>
      </w:r>
      <w:r>
        <w:rPr>
          <w:rFonts w:hint="eastAsia" w:asciiTheme="minorEastAsia" w:hAnsiTheme="minorEastAsia"/>
          <w:sz w:val="24"/>
        </w:rPr>
        <w:t>微波炉打机壳后有高压和较强的微波辐射，可对人体造成永远不能愈合的烧伤，既使没有通电打开机壳后也有被高压击伤的危险，非专业人员禁止打开机壳和维修。</w:t>
      </w: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20"/>
        <w:rPr>
          <w:rFonts w:hint="eastAsia" w:asciiTheme="minorEastAsia" w:hAnsiTheme="minorEastAsia"/>
          <w:sz w:val="24"/>
        </w:rPr>
      </w:pPr>
      <w:bookmarkStart w:id="0" w:name="_GoBack"/>
      <w:bookmarkEnd w:id="0"/>
    </w:p>
    <w:p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r>
        <w:rPr>
          <w:rFonts w:hint="eastAsia" w:asciiTheme="minorEastAsia" w:hAnsiTheme="minorEastAsia"/>
          <w:color w:val="FF0000"/>
          <w:sz w:val="24"/>
        </w:rPr>
        <w:t>注：以上为实验室设备处提供的基础模板，请各实验室根据专业特色，对上述内容进行修改、补充，并张贴在设备附近（或设备上）。</w:t>
      </w:r>
    </w:p>
    <w:p>
      <w:pPr>
        <w:spacing w:line="360" w:lineRule="auto"/>
        <w:rPr>
          <w:rFonts w:hint="eastAsia" w:asciiTheme="minorEastAsia" w:hAnsiTheme="minorEastAsia"/>
          <w:sz w:val="24"/>
        </w:rPr>
      </w:pP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 xml:space="preserve">  </w:t>
      </w:r>
    </w:p>
    <w:p>
      <w:pPr>
        <w:spacing w:line="360" w:lineRule="auto"/>
        <w:ind w:firstLine="420"/>
        <w:rPr>
          <w:rFonts w:asciiTheme="minorEastAsia" w:hAnsi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BAC"/>
    <w:rsid w:val="00003195"/>
    <w:rsid w:val="000047C3"/>
    <w:rsid w:val="00015D92"/>
    <w:rsid w:val="00021A0E"/>
    <w:rsid w:val="00034D68"/>
    <w:rsid w:val="00057E35"/>
    <w:rsid w:val="00061C03"/>
    <w:rsid w:val="00063CD4"/>
    <w:rsid w:val="0006402C"/>
    <w:rsid w:val="00070E70"/>
    <w:rsid w:val="00087641"/>
    <w:rsid w:val="000A244F"/>
    <w:rsid w:val="000A3861"/>
    <w:rsid w:val="000E1795"/>
    <w:rsid w:val="00110D0F"/>
    <w:rsid w:val="0011566B"/>
    <w:rsid w:val="0014070E"/>
    <w:rsid w:val="00165803"/>
    <w:rsid w:val="001706DB"/>
    <w:rsid w:val="001777B3"/>
    <w:rsid w:val="00196811"/>
    <w:rsid w:val="001A38F8"/>
    <w:rsid w:val="001F652D"/>
    <w:rsid w:val="0020362A"/>
    <w:rsid w:val="00237733"/>
    <w:rsid w:val="00297A4D"/>
    <w:rsid w:val="002A71A1"/>
    <w:rsid w:val="002B4281"/>
    <w:rsid w:val="002B7F7E"/>
    <w:rsid w:val="002D785F"/>
    <w:rsid w:val="00304472"/>
    <w:rsid w:val="00313680"/>
    <w:rsid w:val="003141AB"/>
    <w:rsid w:val="003159BC"/>
    <w:rsid w:val="003315F2"/>
    <w:rsid w:val="00334E68"/>
    <w:rsid w:val="00355983"/>
    <w:rsid w:val="00361470"/>
    <w:rsid w:val="003674F4"/>
    <w:rsid w:val="00375E89"/>
    <w:rsid w:val="003825C9"/>
    <w:rsid w:val="003A419E"/>
    <w:rsid w:val="003A62FC"/>
    <w:rsid w:val="003C166C"/>
    <w:rsid w:val="003D17B5"/>
    <w:rsid w:val="003D2B68"/>
    <w:rsid w:val="003D6AA9"/>
    <w:rsid w:val="003D7143"/>
    <w:rsid w:val="003F2463"/>
    <w:rsid w:val="00404857"/>
    <w:rsid w:val="00412056"/>
    <w:rsid w:val="004271B4"/>
    <w:rsid w:val="00437AC1"/>
    <w:rsid w:val="00457055"/>
    <w:rsid w:val="00463082"/>
    <w:rsid w:val="00463DF4"/>
    <w:rsid w:val="004678DB"/>
    <w:rsid w:val="004720D0"/>
    <w:rsid w:val="0047463A"/>
    <w:rsid w:val="00475D11"/>
    <w:rsid w:val="004809AA"/>
    <w:rsid w:val="00487C22"/>
    <w:rsid w:val="004A2BAC"/>
    <w:rsid w:val="004A3B2F"/>
    <w:rsid w:val="004B2C6B"/>
    <w:rsid w:val="004B5A43"/>
    <w:rsid w:val="004B76C7"/>
    <w:rsid w:val="004C2B3F"/>
    <w:rsid w:val="004E260F"/>
    <w:rsid w:val="004E535D"/>
    <w:rsid w:val="004E5A73"/>
    <w:rsid w:val="004F5718"/>
    <w:rsid w:val="004F7A71"/>
    <w:rsid w:val="00503FCA"/>
    <w:rsid w:val="005046EC"/>
    <w:rsid w:val="00516E8F"/>
    <w:rsid w:val="00522872"/>
    <w:rsid w:val="00524DB3"/>
    <w:rsid w:val="00533643"/>
    <w:rsid w:val="00543675"/>
    <w:rsid w:val="00550807"/>
    <w:rsid w:val="00583C92"/>
    <w:rsid w:val="005A4365"/>
    <w:rsid w:val="005C4DAD"/>
    <w:rsid w:val="005C5291"/>
    <w:rsid w:val="005E0BA6"/>
    <w:rsid w:val="005E4554"/>
    <w:rsid w:val="006370E5"/>
    <w:rsid w:val="0064238C"/>
    <w:rsid w:val="00652827"/>
    <w:rsid w:val="006567F8"/>
    <w:rsid w:val="006646BF"/>
    <w:rsid w:val="00671AB3"/>
    <w:rsid w:val="00674235"/>
    <w:rsid w:val="0068505D"/>
    <w:rsid w:val="006A54A7"/>
    <w:rsid w:val="006C0D59"/>
    <w:rsid w:val="006D6DA5"/>
    <w:rsid w:val="006E139A"/>
    <w:rsid w:val="006E3DAD"/>
    <w:rsid w:val="00700AF0"/>
    <w:rsid w:val="00714817"/>
    <w:rsid w:val="00721B47"/>
    <w:rsid w:val="00724481"/>
    <w:rsid w:val="00744582"/>
    <w:rsid w:val="0074745C"/>
    <w:rsid w:val="00773D46"/>
    <w:rsid w:val="007803CF"/>
    <w:rsid w:val="00781F02"/>
    <w:rsid w:val="00783E1D"/>
    <w:rsid w:val="007C2CC0"/>
    <w:rsid w:val="007C468B"/>
    <w:rsid w:val="007D239C"/>
    <w:rsid w:val="007E7A81"/>
    <w:rsid w:val="00820FB5"/>
    <w:rsid w:val="008624A2"/>
    <w:rsid w:val="00873CA4"/>
    <w:rsid w:val="00886233"/>
    <w:rsid w:val="008924E8"/>
    <w:rsid w:val="00894D60"/>
    <w:rsid w:val="00897AA8"/>
    <w:rsid w:val="008B675C"/>
    <w:rsid w:val="008C3CB0"/>
    <w:rsid w:val="008C40B0"/>
    <w:rsid w:val="008D1AB8"/>
    <w:rsid w:val="008D455E"/>
    <w:rsid w:val="008F1A62"/>
    <w:rsid w:val="0090190D"/>
    <w:rsid w:val="009027DD"/>
    <w:rsid w:val="00915573"/>
    <w:rsid w:val="00926F52"/>
    <w:rsid w:val="00942643"/>
    <w:rsid w:val="009700B2"/>
    <w:rsid w:val="009849A7"/>
    <w:rsid w:val="00991F26"/>
    <w:rsid w:val="009B16A7"/>
    <w:rsid w:val="009F7997"/>
    <w:rsid w:val="00A0195A"/>
    <w:rsid w:val="00A044B2"/>
    <w:rsid w:val="00A05549"/>
    <w:rsid w:val="00A12773"/>
    <w:rsid w:val="00A17BE0"/>
    <w:rsid w:val="00A249FE"/>
    <w:rsid w:val="00A316E3"/>
    <w:rsid w:val="00A518C2"/>
    <w:rsid w:val="00A51C5F"/>
    <w:rsid w:val="00A66EED"/>
    <w:rsid w:val="00A820D5"/>
    <w:rsid w:val="00A90144"/>
    <w:rsid w:val="00AA0CA9"/>
    <w:rsid w:val="00AA3AA5"/>
    <w:rsid w:val="00AA5AC3"/>
    <w:rsid w:val="00AD28BE"/>
    <w:rsid w:val="00B46380"/>
    <w:rsid w:val="00B467A4"/>
    <w:rsid w:val="00B5144D"/>
    <w:rsid w:val="00B76396"/>
    <w:rsid w:val="00B86AFE"/>
    <w:rsid w:val="00B96699"/>
    <w:rsid w:val="00BE71A1"/>
    <w:rsid w:val="00C13355"/>
    <w:rsid w:val="00C47F4B"/>
    <w:rsid w:val="00C94B12"/>
    <w:rsid w:val="00C97967"/>
    <w:rsid w:val="00CA0F6F"/>
    <w:rsid w:val="00CD7441"/>
    <w:rsid w:val="00CE0486"/>
    <w:rsid w:val="00CF6248"/>
    <w:rsid w:val="00D4638A"/>
    <w:rsid w:val="00D50346"/>
    <w:rsid w:val="00D50A07"/>
    <w:rsid w:val="00D90D52"/>
    <w:rsid w:val="00DA015B"/>
    <w:rsid w:val="00DA7D2D"/>
    <w:rsid w:val="00DC343E"/>
    <w:rsid w:val="00DD3D2E"/>
    <w:rsid w:val="00DE7242"/>
    <w:rsid w:val="00E00B0C"/>
    <w:rsid w:val="00E10518"/>
    <w:rsid w:val="00E13B8A"/>
    <w:rsid w:val="00E31EF1"/>
    <w:rsid w:val="00E44DB5"/>
    <w:rsid w:val="00E5086A"/>
    <w:rsid w:val="00E50C6A"/>
    <w:rsid w:val="00E60A53"/>
    <w:rsid w:val="00E84412"/>
    <w:rsid w:val="00ED05EB"/>
    <w:rsid w:val="00ED3A06"/>
    <w:rsid w:val="00ED6FA5"/>
    <w:rsid w:val="00EE5DEF"/>
    <w:rsid w:val="00EF0C54"/>
    <w:rsid w:val="00F01470"/>
    <w:rsid w:val="00F026D7"/>
    <w:rsid w:val="00F03C42"/>
    <w:rsid w:val="00F04A0B"/>
    <w:rsid w:val="00F0780F"/>
    <w:rsid w:val="00F46940"/>
    <w:rsid w:val="00F606BC"/>
    <w:rsid w:val="00F773C7"/>
    <w:rsid w:val="00F84C1D"/>
    <w:rsid w:val="00FB4593"/>
    <w:rsid w:val="00FD1F7B"/>
    <w:rsid w:val="00FD25C4"/>
    <w:rsid w:val="00FE672A"/>
    <w:rsid w:val="7B2003B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747</Characters>
  <Lines>6</Lines>
  <Paragraphs>1</Paragraphs>
  <TotalTime>0</TotalTime>
  <ScaleCrop>false</ScaleCrop>
  <LinksUpToDate>false</LinksUpToDate>
  <CharactersWithSpaces>877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2016-08-23T09:08:00Z</dcterms:created>
  <dc:creator>宁信</dc:creator>
  <cp:lastModifiedBy>dell</cp:lastModifiedBy>
  <dcterms:modified xsi:type="dcterms:W3CDTF">2016-09-09T00:56:08Z</dcterms:modified>
  <cp:revision>184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